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209" w:rsidRDefault="005F3F3C" w:rsidP="0083396D">
      <w:pPr>
        <w:ind w:left="-709"/>
        <w:rPr>
          <w:rFonts w:ascii="Arial" w:hAnsi="Arial" w:cs="Arial"/>
          <w:b/>
          <w:sz w:val="28"/>
          <w:szCs w:val="28"/>
          <w:lang w:val="en-US"/>
        </w:rPr>
      </w:pPr>
      <w:bookmarkStart w:id="0" w:name="_GoBack"/>
      <w:bookmarkEnd w:id="0"/>
      <w:r>
        <w:rPr>
          <w:rFonts w:ascii="Arial" w:hAnsi="Arial" w:cs="Arial"/>
          <w:b/>
          <w:sz w:val="28"/>
          <w:szCs w:val="28"/>
        </w:rPr>
        <w:t xml:space="preserve">TR-1: </w:t>
      </w:r>
      <w:r w:rsidR="00234209" w:rsidRPr="00234209">
        <w:rPr>
          <w:rFonts w:ascii="Arial" w:hAnsi="Arial" w:cs="Arial"/>
          <w:b/>
          <w:sz w:val="28"/>
          <w:szCs w:val="28"/>
        </w:rPr>
        <w:t>S</w:t>
      </w:r>
      <w:r w:rsidR="00234209" w:rsidRPr="00234209">
        <w:rPr>
          <w:rFonts w:ascii="Arial" w:hAnsi="Arial" w:cs="Arial"/>
          <w:b/>
          <w:sz w:val="28"/>
          <w:szCs w:val="28"/>
          <w:lang w:val="en-US"/>
        </w:rPr>
        <w:t>tandard form for notification of major holdings</w:t>
      </w:r>
    </w:p>
    <w:p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rsidTr="00B66C47">
        <w:trPr>
          <w:trHeight w:val="422"/>
        </w:trPr>
        <w:tc>
          <w:tcPr>
            <w:tcW w:w="10620" w:type="dxa"/>
            <w:gridSpan w:val="7"/>
            <w:vAlign w:val="center"/>
          </w:tcPr>
          <w:p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p>
        </w:tc>
      </w:tr>
      <w:tr w:rsidR="00234209" w:rsidTr="00B66C47">
        <w:trPr>
          <w:trHeight w:val="242"/>
        </w:trPr>
        <w:tc>
          <w:tcPr>
            <w:tcW w:w="10620" w:type="dxa"/>
            <w:gridSpan w:val="7"/>
            <w:tcBorders>
              <w:left w:val="nil"/>
              <w:right w:val="nil"/>
            </w:tcBorders>
            <w:vAlign w:val="center"/>
          </w:tcPr>
          <w:p w:rsidR="00234209" w:rsidRPr="000B4E53" w:rsidRDefault="00234209" w:rsidP="004B60AF">
            <w:pPr>
              <w:jc w:val="right"/>
              <w:rPr>
                <w:rFonts w:ascii="Arial" w:hAnsi="Arial" w:cs="Arial"/>
                <w:sz w:val="20"/>
                <w:szCs w:val="20"/>
              </w:rPr>
            </w:pPr>
          </w:p>
        </w:tc>
      </w:tr>
      <w:tr w:rsidR="003C663D" w:rsidTr="00DF279F">
        <w:trPr>
          <w:trHeight w:val="877"/>
        </w:trPr>
        <w:tc>
          <w:tcPr>
            <w:tcW w:w="5398" w:type="dxa"/>
            <w:gridSpan w:val="3"/>
            <w:vAlign w:val="center"/>
          </w:tcPr>
          <w:p w:rsidR="003C663D" w:rsidRPr="003C663D" w:rsidRDefault="003C663D"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rsidR="003C663D" w:rsidRPr="00DA3C49" w:rsidRDefault="006E567D" w:rsidP="00DA3C49">
            <w:pPr>
              <w:jc w:val="center"/>
              <w:rPr>
                <w:rFonts w:ascii="Arial" w:hAnsi="Arial" w:cs="Arial"/>
                <w:szCs w:val="20"/>
              </w:rPr>
            </w:pPr>
            <w:r>
              <w:rPr>
                <w:rFonts w:ascii="Arial" w:hAnsi="Arial" w:cs="Arial"/>
                <w:szCs w:val="20"/>
              </w:rPr>
              <w:t>Escape Hunt Plc</w:t>
            </w:r>
          </w:p>
        </w:tc>
      </w:tr>
      <w:tr w:rsidR="00DB740F" w:rsidTr="003C663D">
        <w:trPr>
          <w:trHeight w:val="433"/>
        </w:trPr>
        <w:tc>
          <w:tcPr>
            <w:tcW w:w="10620" w:type="dxa"/>
            <w:gridSpan w:val="7"/>
            <w:vAlign w:val="center"/>
          </w:tcPr>
          <w:p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Please indicate if the issuer is a non-UK 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rsidTr="003C663D">
        <w:trPr>
          <w:trHeight w:val="397"/>
        </w:trPr>
        <w:tc>
          <w:tcPr>
            <w:tcW w:w="9934" w:type="dxa"/>
            <w:gridSpan w:val="6"/>
            <w:vAlign w:val="center"/>
          </w:tcPr>
          <w:p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rsidR="003C663D" w:rsidRPr="00DA3C49" w:rsidRDefault="003C663D" w:rsidP="008E3B80">
            <w:pPr>
              <w:jc w:val="center"/>
              <w:rPr>
                <w:rFonts w:ascii="Arial" w:hAnsi="Arial" w:cs="Arial"/>
                <w:color w:val="000000" w:themeColor="text1"/>
              </w:rPr>
            </w:pPr>
          </w:p>
        </w:tc>
      </w:tr>
      <w:tr w:rsidR="00234209" w:rsidTr="00B66C47">
        <w:trPr>
          <w:trHeight w:val="578"/>
        </w:trPr>
        <w:tc>
          <w:tcPr>
            <w:tcW w:w="10620" w:type="dxa"/>
            <w:gridSpan w:val="7"/>
            <w:vAlign w:val="center"/>
          </w:tcPr>
          <w:p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rsidR="00B66C47" w:rsidRPr="00B66C47" w:rsidRDefault="006E567D" w:rsidP="008E3B80">
            <w:pPr>
              <w:jc w:val="center"/>
              <w:rPr>
                <w:rFonts w:ascii="Arial" w:hAnsi="Arial" w:cs="Arial"/>
              </w:rPr>
            </w:pPr>
            <w:r>
              <w:rPr>
                <w:rFonts w:ascii="Arial" w:hAnsi="Arial" w:cs="Arial"/>
              </w:rPr>
              <w:t>X</w:t>
            </w: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rsidR="00B66C47" w:rsidRPr="000B4E53" w:rsidRDefault="00B66C47" w:rsidP="008E3B80">
            <w:pPr>
              <w:jc w:val="center"/>
              <w:rPr>
                <w:rFonts w:ascii="Arial" w:hAnsi="Arial" w:cs="Arial"/>
              </w:rPr>
            </w:pP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rsidR="00B66C47" w:rsidRPr="000B4E53" w:rsidRDefault="00B66C47" w:rsidP="008E3B80">
            <w:pPr>
              <w:jc w:val="center"/>
              <w:rPr>
                <w:rFonts w:ascii="Arial" w:hAnsi="Arial" w:cs="Arial"/>
              </w:rPr>
            </w:pP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Other (please specify)</w:t>
            </w:r>
            <w:r w:rsidRPr="003C663D">
              <w:rPr>
                <w:rFonts w:ascii="Arial" w:hAnsi="Arial" w:cs="Arial"/>
                <w:sz w:val="21"/>
                <w:szCs w:val="21"/>
                <w:vertAlign w:val="superscript"/>
              </w:rPr>
              <w:t>iii</w:t>
            </w:r>
            <w:r w:rsidRPr="003C663D">
              <w:rPr>
                <w:rFonts w:ascii="Arial" w:hAnsi="Arial" w:cs="Arial"/>
                <w:sz w:val="21"/>
                <w:szCs w:val="21"/>
              </w:rPr>
              <w:t>:</w:t>
            </w:r>
          </w:p>
        </w:tc>
        <w:tc>
          <w:tcPr>
            <w:tcW w:w="686" w:type="dxa"/>
            <w:vAlign w:val="center"/>
          </w:tcPr>
          <w:p w:rsidR="00B66C47" w:rsidRPr="000B4E53" w:rsidRDefault="00B66C47" w:rsidP="008E3B80">
            <w:pPr>
              <w:jc w:val="center"/>
              <w:rPr>
                <w:rFonts w:ascii="Arial" w:hAnsi="Arial" w:cs="Arial"/>
              </w:rPr>
            </w:pPr>
          </w:p>
        </w:tc>
      </w:tr>
      <w:tr w:rsidR="00B66C47" w:rsidTr="00B66C47">
        <w:trPr>
          <w:trHeight w:val="468"/>
        </w:trPr>
        <w:tc>
          <w:tcPr>
            <w:tcW w:w="10620" w:type="dxa"/>
            <w:gridSpan w:val="7"/>
            <w:tcBorders>
              <w:bottom w:val="nil"/>
            </w:tcBorders>
            <w:vAlign w:val="center"/>
          </w:tcPr>
          <w:p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notification obligatio</w:t>
            </w:r>
            <w:r w:rsidRPr="00632309">
              <w:rPr>
                <w:rFonts w:ascii="Arial" w:hAnsi="Arial" w:cs="Arial"/>
                <w:b/>
              </w:rPr>
              <w:t>n</w:t>
            </w:r>
            <w:r w:rsidRPr="00C029BE">
              <w:rPr>
                <w:rFonts w:ascii="Arial" w:hAnsi="Arial" w:cs="Arial"/>
                <w:sz w:val="16"/>
                <w:szCs w:val="16"/>
                <w:vertAlign w:val="superscript"/>
                <w:lang w:eastAsia="fr-FR"/>
              </w:rPr>
              <w:t>iv</w:t>
            </w:r>
          </w:p>
        </w:tc>
      </w:tr>
      <w:tr w:rsidR="00B66C47" w:rsidTr="00DF279F">
        <w:trPr>
          <w:trHeight w:val="390"/>
        </w:trPr>
        <w:tc>
          <w:tcPr>
            <w:tcW w:w="5398" w:type="dxa"/>
            <w:gridSpan w:val="3"/>
            <w:tcBorders>
              <w:bottom w:val="nil"/>
            </w:tcBorders>
            <w:vAlign w:val="center"/>
          </w:tcPr>
          <w:p w:rsidR="00B66C47" w:rsidRPr="003C663D" w:rsidRDefault="00B66C47" w:rsidP="004B60A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rsidR="00B66C47" w:rsidRPr="00B66C47" w:rsidRDefault="006E567D" w:rsidP="004B60AF">
            <w:pPr>
              <w:rPr>
                <w:rFonts w:ascii="Arial" w:hAnsi="Arial" w:cs="Arial"/>
              </w:rPr>
            </w:pPr>
            <w:r w:rsidRPr="000A0903">
              <w:rPr>
                <w:rFonts w:ascii="Arial" w:hAnsi="Arial" w:cs="Arial"/>
                <w:sz w:val="21"/>
                <w:szCs w:val="21"/>
              </w:rPr>
              <w:t>Killik &amp; Co LLP</w:t>
            </w:r>
          </w:p>
        </w:tc>
      </w:tr>
      <w:tr w:rsidR="00B66C47" w:rsidTr="00DF279F">
        <w:trPr>
          <w:trHeight w:val="390"/>
        </w:trPr>
        <w:tc>
          <w:tcPr>
            <w:tcW w:w="5398" w:type="dxa"/>
            <w:gridSpan w:val="3"/>
            <w:tcBorders>
              <w:bottom w:val="nil"/>
            </w:tcBorders>
            <w:vAlign w:val="center"/>
          </w:tcPr>
          <w:p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rsidR="00B66C47" w:rsidRDefault="006E567D" w:rsidP="004B60AF">
            <w:pPr>
              <w:rPr>
                <w:rFonts w:ascii="Arial" w:hAnsi="Arial" w:cs="Arial"/>
              </w:rPr>
            </w:pPr>
            <w:r w:rsidRPr="000A0903">
              <w:rPr>
                <w:rFonts w:ascii="Arial" w:hAnsi="Arial" w:cs="Arial"/>
                <w:sz w:val="21"/>
                <w:szCs w:val="21"/>
              </w:rPr>
              <w:t>London, UK</w:t>
            </w:r>
          </w:p>
        </w:tc>
      </w:tr>
      <w:tr w:rsidR="00B66C47" w:rsidTr="00461C29">
        <w:trPr>
          <w:trHeight w:val="489"/>
        </w:trPr>
        <w:tc>
          <w:tcPr>
            <w:tcW w:w="10620" w:type="dxa"/>
            <w:gridSpan w:val="7"/>
            <w:vAlign w:val="center"/>
          </w:tcPr>
          <w:p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r w:rsidRPr="00C029BE">
              <w:rPr>
                <w:rFonts w:ascii="Arial" w:hAnsi="Arial" w:cs="Arial"/>
                <w:sz w:val="16"/>
                <w:szCs w:val="16"/>
                <w:vertAlign w:val="superscript"/>
                <w:lang w:eastAsia="fr-FR"/>
              </w:rPr>
              <w:t>v</w:t>
            </w:r>
          </w:p>
        </w:tc>
      </w:tr>
      <w:tr w:rsidR="00B66C47" w:rsidTr="00DF279F">
        <w:trPr>
          <w:trHeight w:val="483"/>
        </w:trPr>
        <w:tc>
          <w:tcPr>
            <w:tcW w:w="5398" w:type="dxa"/>
            <w:gridSpan w:val="3"/>
            <w:vAlign w:val="center"/>
          </w:tcPr>
          <w:p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rsidR="006E567D" w:rsidRPr="000A0903" w:rsidRDefault="006E567D" w:rsidP="006E567D">
            <w:pPr>
              <w:rPr>
                <w:rFonts w:ascii="Arial" w:hAnsi="Arial" w:cs="Arial"/>
                <w:sz w:val="21"/>
                <w:szCs w:val="21"/>
              </w:rPr>
            </w:pPr>
            <w:r w:rsidRPr="000A0903">
              <w:rPr>
                <w:rFonts w:ascii="Arial" w:hAnsi="Arial" w:cs="Arial"/>
                <w:sz w:val="21"/>
                <w:szCs w:val="21"/>
              </w:rPr>
              <w:t xml:space="preserve">Platform Securities </w:t>
            </w:r>
          </w:p>
          <w:p w:rsidR="00B66C47" w:rsidRPr="00DA3C49" w:rsidRDefault="006E567D" w:rsidP="006E567D">
            <w:pPr>
              <w:rPr>
                <w:rFonts w:ascii="Arial" w:hAnsi="Arial" w:cs="Arial"/>
              </w:rPr>
            </w:pPr>
            <w:r w:rsidRPr="000A0903">
              <w:rPr>
                <w:rFonts w:ascii="Arial" w:hAnsi="Arial" w:cs="Arial"/>
                <w:sz w:val="21"/>
                <w:szCs w:val="21"/>
              </w:rPr>
              <w:t>(on behalf of various discretionary clients of Killik &amp; Co LLP)</w:t>
            </w:r>
          </w:p>
        </w:tc>
      </w:tr>
      <w:tr w:rsidR="00B66C47" w:rsidTr="00DF279F">
        <w:trPr>
          <w:trHeight w:val="537"/>
        </w:trPr>
        <w:tc>
          <w:tcPr>
            <w:tcW w:w="5398" w:type="dxa"/>
            <w:gridSpan w:val="3"/>
            <w:vAlign w:val="center"/>
          </w:tcPr>
          <w:p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rsidR="00B66C47" w:rsidRPr="00DA3C49" w:rsidRDefault="006E567D" w:rsidP="00B66C47">
            <w:pPr>
              <w:rPr>
                <w:rFonts w:ascii="Arial" w:hAnsi="Arial" w:cs="Arial"/>
              </w:rPr>
            </w:pPr>
            <w:r w:rsidRPr="000A0903">
              <w:rPr>
                <w:rFonts w:ascii="Arial" w:hAnsi="Arial" w:cs="Arial"/>
                <w:sz w:val="21"/>
                <w:szCs w:val="21"/>
              </w:rPr>
              <w:t>London, UK</w:t>
            </w:r>
          </w:p>
        </w:tc>
      </w:tr>
      <w:tr w:rsidR="003C663D" w:rsidRPr="00C02C65" w:rsidTr="00DF279F">
        <w:trPr>
          <w:trHeight w:val="669"/>
        </w:trPr>
        <w:tc>
          <w:tcPr>
            <w:tcW w:w="5398" w:type="dxa"/>
            <w:gridSpan w:val="3"/>
            <w:vAlign w:val="center"/>
          </w:tcPr>
          <w:p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reache</w:t>
            </w:r>
            <w:r w:rsidRPr="00632309">
              <w:rPr>
                <w:rFonts w:ascii="Arial" w:hAnsi="Arial" w:cs="Arial"/>
                <w:b/>
              </w:rPr>
              <w:t>d</w:t>
            </w:r>
            <w:r w:rsidRPr="00C029BE">
              <w:rPr>
                <w:rFonts w:ascii="Arial" w:hAnsi="Arial" w:cs="Arial"/>
                <w:sz w:val="16"/>
                <w:szCs w:val="16"/>
                <w:vertAlign w:val="superscript"/>
                <w:lang w:eastAsia="fr-FR"/>
              </w:rPr>
              <w:t>vi</w:t>
            </w:r>
            <w:r w:rsidRPr="00C02C65">
              <w:rPr>
                <w:rFonts w:ascii="Arial" w:hAnsi="Arial" w:cs="Arial"/>
                <w:b/>
              </w:rPr>
              <w:t>:</w:t>
            </w:r>
          </w:p>
        </w:tc>
        <w:tc>
          <w:tcPr>
            <w:tcW w:w="5222" w:type="dxa"/>
            <w:gridSpan w:val="4"/>
            <w:vAlign w:val="center"/>
          </w:tcPr>
          <w:p w:rsidR="003C663D" w:rsidRPr="00C02C65" w:rsidRDefault="006E567D" w:rsidP="004B60AF">
            <w:pPr>
              <w:rPr>
                <w:rFonts w:ascii="Arial" w:hAnsi="Arial" w:cs="Arial"/>
              </w:rPr>
            </w:pPr>
            <w:r>
              <w:rPr>
                <w:rFonts w:ascii="Arial" w:hAnsi="Arial" w:cs="Arial"/>
              </w:rPr>
              <w:t>4 September 2018</w:t>
            </w:r>
          </w:p>
        </w:tc>
      </w:tr>
      <w:tr w:rsidR="003C663D" w:rsidRPr="00C02C65" w:rsidTr="00DF279F">
        <w:trPr>
          <w:trHeight w:val="535"/>
        </w:trPr>
        <w:tc>
          <w:tcPr>
            <w:tcW w:w="5398" w:type="dxa"/>
            <w:gridSpan w:val="3"/>
            <w:vAlign w:val="center"/>
          </w:tcPr>
          <w:p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rsidR="003C663D" w:rsidRPr="00DA3C49" w:rsidRDefault="006E567D" w:rsidP="004B60AF">
            <w:pPr>
              <w:rPr>
                <w:rFonts w:ascii="Arial" w:hAnsi="Arial" w:cs="Arial"/>
              </w:rPr>
            </w:pPr>
            <w:r>
              <w:rPr>
                <w:rFonts w:ascii="Arial" w:hAnsi="Arial" w:cs="Arial"/>
              </w:rPr>
              <w:t>4 September 2018</w:t>
            </w:r>
          </w:p>
        </w:tc>
      </w:tr>
      <w:tr w:rsidR="00B66C47" w:rsidRPr="00C02C65" w:rsidTr="00B66C47">
        <w:trPr>
          <w:trHeight w:val="555"/>
        </w:trPr>
        <w:tc>
          <w:tcPr>
            <w:tcW w:w="10620" w:type="dxa"/>
            <w:gridSpan w:val="7"/>
            <w:vAlign w:val="center"/>
          </w:tcPr>
          <w:p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rsidTr="00B66C47">
        <w:trPr>
          <w:trHeight w:val="555"/>
        </w:trPr>
        <w:tc>
          <w:tcPr>
            <w:tcW w:w="2124" w:type="dxa"/>
            <w:vAlign w:val="center"/>
          </w:tcPr>
          <w:p w:rsidR="00B66C47" w:rsidRPr="00C02C65" w:rsidRDefault="00B66C47" w:rsidP="004B60AF">
            <w:pPr>
              <w:rPr>
                <w:rFonts w:ascii="Arial" w:hAnsi="Arial" w:cs="Arial"/>
              </w:rPr>
            </w:pPr>
          </w:p>
        </w:tc>
        <w:tc>
          <w:tcPr>
            <w:tcW w:w="2124" w:type="dxa"/>
            <w:vAlign w:val="center"/>
          </w:tcPr>
          <w:p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rsidR="00B66C47" w:rsidRPr="006B0D69" w:rsidRDefault="00B66C47" w:rsidP="004B60AF">
            <w:pPr>
              <w:rPr>
                <w:rFonts w:ascii="Arial" w:hAnsi="Arial" w:cs="Arial"/>
                <w:sz w:val="20"/>
                <w:szCs w:val="20"/>
              </w:rPr>
            </w:pPr>
            <w:r w:rsidRPr="006B0D69">
              <w:rPr>
                <w:rFonts w:ascii="Arial" w:hAnsi="Arial" w:cs="Arial"/>
                <w:sz w:val="20"/>
                <w:szCs w:val="20"/>
              </w:rPr>
              <w:t>Total number of voting rights of issue</w:t>
            </w:r>
            <w:r w:rsidRPr="00632309">
              <w:rPr>
                <w:rFonts w:ascii="Arial" w:hAnsi="Arial" w:cs="Arial"/>
                <w:sz w:val="20"/>
                <w:szCs w:val="20"/>
              </w:rPr>
              <w:t>r</w:t>
            </w:r>
            <w:r w:rsidRPr="00C029BE">
              <w:rPr>
                <w:rFonts w:ascii="Arial" w:hAnsi="Arial" w:cs="Arial"/>
                <w:sz w:val="16"/>
                <w:szCs w:val="16"/>
                <w:vertAlign w:val="superscript"/>
                <w:lang w:eastAsia="fr-FR"/>
              </w:rPr>
              <w:t>vii</w:t>
            </w:r>
          </w:p>
        </w:tc>
      </w:tr>
      <w:tr w:rsidR="00B66C47" w:rsidRPr="00C02C65" w:rsidTr="00B66C47">
        <w:trPr>
          <w:trHeight w:val="555"/>
        </w:trPr>
        <w:tc>
          <w:tcPr>
            <w:tcW w:w="2124" w:type="dxa"/>
            <w:vAlign w:val="center"/>
          </w:tcPr>
          <w:p w:rsidR="00B66C47" w:rsidRPr="006B0D69" w:rsidRDefault="00B66C47" w:rsidP="004B60A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rsidR="00B66C47" w:rsidRPr="00C02C65" w:rsidRDefault="006E567D" w:rsidP="004B60AF">
            <w:pPr>
              <w:rPr>
                <w:rFonts w:ascii="Arial" w:hAnsi="Arial" w:cs="Arial"/>
              </w:rPr>
            </w:pPr>
            <w:r>
              <w:rPr>
                <w:rFonts w:ascii="Arial" w:hAnsi="Arial" w:cs="Arial"/>
              </w:rPr>
              <w:t>8.62%</w:t>
            </w:r>
          </w:p>
        </w:tc>
        <w:tc>
          <w:tcPr>
            <w:tcW w:w="2313" w:type="dxa"/>
            <w:gridSpan w:val="2"/>
            <w:vAlign w:val="center"/>
          </w:tcPr>
          <w:p w:rsidR="00B66C47" w:rsidRPr="00C02C65" w:rsidRDefault="006E567D" w:rsidP="004B60AF">
            <w:pPr>
              <w:rPr>
                <w:rFonts w:ascii="Arial" w:hAnsi="Arial" w:cs="Arial"/>
              </w:rPr>
            </w:pPr>
            <w:r>
              <w:rPr>
                <w:rFonts w:ascii="Arial" w:hAnsi="Arial" w:cs="Arial"/>
              </w:rPr>
              <w:t>N/A</w:t>
            </w:r>
          </w:p>
        </w:tc>
        <w:tc>
          <w:tcPr>
            <w:tcW w:w="2126" w:type="dxa"/>
            <w:vAlign w:val="center"/>
          </w:tcPr>
          <w:p w:rsidR="00B66C47" w:rsidRPr="00C02C65" w:rsidRDefault="006E567D" w:rsidP="004B60AF">
            <w:pPr>
              <w:rPr>
                <w:rFonts w:ascii="Arial" w:hAnsi="Arial" w:cs="Arial"/>
              </w:rPr>
            </w:pPr>
            <w:r>
              <w:rPr>
                <w:rFonts w:ascii="Arial" w:hAnsi="Arial" w:cs="Arial"/>
              </w:rPr>
              <w:t>8.62%</w:t>
            </w:r>
          </w:p>
        </w:tc>
        <w:tc>
          <w:tcPr>
            <w:tcW w:w="1933" w:type="dxa"/>
            <w:gridSpan w:val="2"/>
            <w:vAlign w:val="center"/>
          </w:tcPr>
          <w:p w:rsidR="00B66C47" w:rsidRPr="00C02C65" w:rsidRDefault="006E567D" w:rsidP="004B60AF">
            <w:pPr>
              <w:rPr>
                <w:rFonts w:ascii="Arial" w:hAnsi="Arial" w:cs="Arial"/>
              </w:rPr>
            </w:pPr>
            <w:r>
              <w:rPr>
                <w:rFonts w:ascii="Arial" w:hAnsi="Arial" w:cs="Arial"/>
              </w:rPr>
              <w:t>20,259,258</w:t>
            </w:r>
          </w:p>
        </w:tc>
      </w:tr>
      <w:tr w:rsidR="00B66C47" w:rsidRPr="00C02C65" w:rsidTr="003C663D">
        <w:trPr>
          <w:trHeight w:val="848"/>
        </w:trPr>
        <w:tc>
          <w:tcPr>
            <w:tcW w:w="2124" w:type="dxa"/>
            <w:vAlign w:val="center"/>
          </w:tcPr>
          <w:p w:rsidR="003C663D" w:rsidRDefault="00B66C47" w:rsidP="004B60AF">
            <w:pPr>
              <w:rPr>
                <w:rFonts w:ascii="Arial" w:hAnsi="Arial" w:cs="Arial"/>
                <w:sz w:val="20"/>
                <w:szCs w:val="20"/>
              </w:rPr>
            </w:pPr>
            <w:r w:rsidRPr="006B0D69">
              <w:rPr>
                <w:rFonts w:ascii="Arial" w:hAnsi="Arial" w:cs="Arial"/>
                <w:sz w:val="20"/>
                <w:szCs w:val="20"/>
              </w:rPr>
              <w:lastRenderedPageBreak/>
              <w:t>Position of previous notification</w:t>
            </w:r>
            <w:r>
              <w:rPr>
                <w:rFonts w:ascii="Arial" w:hAnsi="Arial" w:cs="Arial"/>
                <w:sz w:val="20"/>
                <w:szCs w:val="20"/>
              </w:rPr>
              <w:t xml:space="preserve"> (if </w:t>
            </w:r>
          </w:p>
          <w:p w:rsidR="00B66C47" w:rsidRPr="006B0D69" w:rsidRDefault="00B66C47" w:rsidP="004B60AF">
            <w:pPr>
              <w:rPr>
                <w:rFonts w:ascii="Arial" w:hAnsi="Arial" w:cs="Arial"/>
                <w:sz w:val="20"/>
                <w:szCs w:val="20"/>
              </w:rPr>
            </w:pPr>
            <w:r>
              <w:rPr>
                <w:rFonts w:ascii="Arial" w:hAnsi="Arial" w:cs="Arial"/>
                <w:sz w:val="20"/>
                <w:szCs w:val="20"/>
              </w:rPr>
              <w:t>applicable)</w:t>
            </w:r>
          </w:p>
        </w:tc>
        <w:tc>
          <w:tcPr>
            <w:tcW w:w="2124" w:type="dxa"/>
            <w:vAlign w:val="center"/>
          </w:tcPr>
          <w:p w:rsidR="00B66C47" w:rsidRPr="00C02C65" w:rsidRDefault="006E567D" w:rsidP="004B60AF">
            <w:pPr>
              <w:rPr>
                <w:rFonts w:ascii="Arial" w:hAnsi="Arial" w:cs="Arial"/>
              </w:rPr>
            </w:pPr>
            <w:r w:rsidRPr="006E567D">
              <w:rPr>
                <w:rFonts w:ascii="Arial" w:hAnsi="Arial" w:cs="Arial"/>
              </w:rPr>
              <w:t>9.19%</w:t>
            </w:r>
          </w:p>
        </w:tc>
        <w:tc>
          <w:tcPr>
            <w:tcW w:w="2313" w:type="dxa"/>
            <w:gridSpan w:val="2"/>
            <w:vAlign w:val="center"/>
          </w:tcPr>
          <w:p w:rsidR="00B66C47" w:rsidRPr="00C02C65" w:rsidRDefault="006E567D" w:rsidP="004B60AF">
            <w:pPr>
              <w:rPr>
                <w:rFonts w:ascii="Arial" w:hAnsi="Arial" w:cs="Arial"/>
              </w:rPr>
            </w:pPr>
            <w:r>
              <w:rPr>
                <w:rFonts w:ascii="Arial" w:hAnsi="Arial" w:cs="Arial"/>
              </w:rPr>
              <w:t>N/A</w:t>
            </w:r>
          </w:p>
        </w:tc>
        <w:tc>
          <w:tcPr>
            <w:tcW w:w="2126" w:type="dxa"/>
            <w:vAlign w:val="center"/>
          </w:tcPr>
          <w:p w:rsidR="00B66C47" w:rsidRPr="00C02C65" w:rsidRDefault="006E567D" w:rsidP="004B60AF">
            <w:pPr>
              <w:rPr>
                <w:rFonts w:ascii="Arial" w:hAnsi="Arial" w:cs="Arial"/>
              </w:rPr>
            </w:pPr>
            <w:r w:rsidRPr="006E567D">
              <w:rPr>
                <w:rFonts w:ascii="Arial" w:hAnsi="Arial" w:cs="Arial"/>
              </w:rPr>
              <w:t>9.19%</w:t>
            </w:r>
          </w:p>
        </w:tc>
        <w:tc>
          <w:tcPr>
            <w:tcW w:w="1933" w:type="dxa"/>
            <w:gridSpan w:val="2"/>
            <w:shd w:val="thinDiagStripe" w:color="auto" w:fill="auto"/>
            <w:vAlign w:val="center"/>
          </w:tcPr>
          <w:p w:rsidR="00B66C47" w:rsidRPr="00C02C65" w:rsidRDefault="006E567D" w:rsidP="004B60AF">
            <w:pPr>
              <w:rPr>
                <w:rFonts w:ascii="Arial" w:hAnsi="Arial" w:cs="Arial"/>
              </w:rPr>
            </w:pPr>
            <w:r>
              <w:rPr>
                <w:rFonts w:ascii="Arial" w:hAnsi="Arial" w:cs="Arial"/>
              </w:rPr>
              <w:t>20,259,258</w:t>
            </w:r>
          </w:p>
        </w:tc>
      </w:tr>
    </w:tbl>
    <w:p w:rsidR="00AA1207" w:rsidRPr="00C02C65"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234209" w:rsidRPr="00002001" w:rsidTr="00DA3C49">
        <w:trPr>
          <w:trHeight w:val="326"/>
          <w:jc w:val="center"/>
        </w:trPr>
        <w:tc>
          <w:tcPr>
            <w:tcW w:w="10620" w:type="dxa"/>
            <w:gridSpan w:val="10"/>
            <w:tcBorders>
              <w:top w:val="single" w:sz="4" w:space="0" w:color="auto"/>
              <w:bottom w:val="single" w:sz="4" w:space="0" w:color="auto"/>
            </w:tcBorders>
          </w:tcPr>
          <w:p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reache</w:t>
            </w:r>
            <w:r w:rsidRPr="00632309">
              <w:rPr>
                <w:rFonts w:ascii="Arial" w:hAnsi="Arial" w:cs="Arial"/>
                <w:b/>
              </w:rPr>
              <w:t>d</w:t>
            </w:r>
            <w:r w:rsidRPr="00C029BE">
              <w:rPr>
                <w:rFonts w:ascii="Arial" w:hAnsi="Arial" w:cs="Arial"/>
                <w:sz w:val="16"/>
                <w:szCs w:val="16"/>
                <w:vertAlign w:val="superscript"/>
                <w:lang w:eastAsia="fr-FR"/>
              </w:rPr>
              <w:t>viii</w:t>
            </w:r>
          </w:p>
        </w:tc>
      </w:tr>
      <w:tr w:rsidR="00234209" w:rsidRPr="00002001" w:rsidTr="00DA3C49">
        <w:trPr>
          <w:trHeight w:val="458"/>
          <w:jc w:val="center"/>
        </w:trPr>
        <w:tc>
          <w:tcPr>
            <w:tcW w:w="10620" w:type="dxa"/>
            <w:gridSpan w:val="10"/>
            <w:tcBorders>
              <w:top w:val="single" w:sz="4" w:space="0" w:color="auto"/>
              <w:bottom w:val="single" w:sz="4" w:space="0" w:color="auto"/>
            </w:tcBorders>
            <w:vAlign w:val="center"/>
          </w:tcPr>
          <w:p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rsidR="00234209" w:rsidRPr="004D4E06" w:rsidRDefault="00234209" w:rsidP="004B60AF">
            <w:pPr>
              <w:rPr>
                <w:rFonts w:ascii="Arial" w:hAnsi="Arial" w:cs="Arial"/>
                <w:b/>
                <w:sz w:val="20"/>
                <w:szCs w:val="20"/>
              </w:rPr>
            </w:pPr>
            <w:r>
              <w:rPr>
                <w:rFonts w:ascii="Arial" w:hAnsi="Arial" w:cs="Arial"/>
                <w:b/>
                <w:sz w:val="20"/>
                <w:szCs w:val="20"/>
              </w:rPr>
              <w:t>Number of voting right</w:t>
            </w:r>
            <w:r w:rsidRPr="00632309">
              <w:rPr>
                <w:rFonts w:ascii="Arial" w:hAnsi="Arial" w:cs="Arial"/>
                <w:b/>
                <w:sz w:val="20"/>
                <w:szCs w:val="20"/>
              </w:rPr>
              <w:t>s</w:t>
            </w:r>
            <w:r w:rsidRPr="00C029BE">
              <w:rPr>
                <w:rFonts w:ascii="Arial" w:hAnsi="Arial" w:cs="Arial"/>
                <w:sz w:val="16"/>
                <w:szCs w:val="16"/>
                <w:vertAlign w:val="superscript"/>
                <w:lang w:eastAsia="fr-FR"/>
              </w:rPr>
              <w:t>ix</w:t>
            </w:r>
          </w:p>
        </w:tc>
        <w:tc>
          <w:tcPr>
            <w:tcW w:w="4356" w:type="dxa"/>
            <w:gridSpan w:val="3"/>
            <w:tcBorders>
              <w:top w:val="single" w:sz="4" w:space="0" w:color="auto"/>
              <w:left w:val="single" w:sz="4" w:space="0" w:color="auto"/>
            </w:tcBorders>
            <w:vAlign w:val="center"/>
          </w:tcPr>
          <w:p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rsidR="00234209" w:rsidRPr="004D4E06" w:rsidRDefault="00234209" w:rsidP="004B60AF">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Pr>
                <w:rFonts w:ascii="Arial" w:hAnsi="Arial" w:cs="Arial"/>
                <w:b/>
                <w:sz w:val="20"/>
                <w:szCs w:val="20"/>
              </w:rPr>
              <w:t>Direct</w:t>
            </w:r>
          </w:p>
          <w:p w:rsidR="00234209" w:rsidRPr="00D243C6" w:rsidRDefault="00234209"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340DF7">
              <w:rPr>
                <w:rFonts w:ascii="Arial" w:hAnsi="Arial" w:cs="Arial"/>
                <w:sz w:val="16"/>
                <w:szCs w:val="16"/>
              </w:rPr>
              <w:t xml:space="preserve"> </w:t>
            </w:r>
            <w:r w:rsidR="00997A7B">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sidRPr="000B4E53">
              <w:rPr>
                <w:rFonts w:ascii="Arial" w:hAnsi="Arial" w:cs="Arial"/>
                <w:b/>
                <w:sz w:val="20"/>
                <w:szCs w:val="20"/>
              </w:rPr>
              <w:t>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997A7B">
              <w:rPr>
                <w:rFonts w:ascii="Arial" w:hAnsi="Arial" w:cs="Arial"/>
                <w:sz w:val="16"/>
                <w:szCs w:val="16"/>
              </w:rPr>
              <w:t xml:space="preserve"> (DTR5.1)</w:t>
            </w:r>
          </w:p>
        </w:tc>
        <w:tc>
          <w:tcPr>
            <w:tcW w:w="2024" w:type="dxa"/>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sidRPr="000B4E53">
              <w:rPr>
                <w:rFonts w:ascii="Arial" w:hAnsi="Arial" w:cs="Arial"/>
                <w:b/>
                <w:sz w:val="20"/>
                <w:szCs w:val="20"/>
              </w:rPr>
              <w:t>Indirect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6E567D" w:rsidRPr="0016431D" w:rsidRDefault="006E567D" w:rsidP="006E567D">
            <w:pPr>
              <w:rPr>
                <w:rFonts w:ascii="Arial" w:hAnsi="Arial" w:cs="Arial"/>
                <w:color w:val="000000"/>
                <w:szCs w:val="22"/>
                <w:lang w:eastAsia="en-GB"/>
              </w:rPr>
            </w:pPr>
            <w:r w:rsidRPr="0016431D">
              <w:rPr>
                <w:rFonts w:ascii="Arial" w:hAnsi="Arial" w:cs="Arial"/>
                <w:color w:val="000000"/>
                <w:szCs w:val="22"/>
              </w:rPr>
              <w:t>GB00BDB79J29</w:t>
            </w:r>
          </w:p>
          <w:p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6E567D" w:rsidRPr="0016431D" w:rsidRDefault="006E567D" w:rsidP="006E567D">
            <w:pPr>
              <w:rPr>
                <w:rFonts w:ascii="Arial" w:hAnsi="Arial" w:cs="Arial"/>
                <w:color w:val="000000"/>
                <w:szCs w:val="22"/>
                <w:lang w:eastAsia="en-GB"/>
              </w:rPr>
            </w:pPr>
            <w:r w:rsidRPr="0016431D">
              <w:rPr>
                <w:rFonts w:ascii="Arial" w:hAnsi="Arial" w:cs="Arial"/>
                <w:color w:val="000000"/>
                <w:szCs w:val="22"/>
              </w:rPr>
              <w:t>1,745,823</w:t>
            </w:r>
          </w:p>
          <w:p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234209" w:rsidRPr="000B4E53" w:rsidRDefault="006E567D" w:rsidP="00DA3C49">
            <w:pPr>
              <w:rPr>
                <w:rFonts w:ascii="Arial" w:hAnsi="Arial" w:cs="Arial"/>
              </w:rPr>
            </w:pPr>
            <w:r>
              <w:rPr>
                <w:rFonts w:ascii="Arial" w:hAnsi="Arial" w:cs="Arial"/>
              </w:rPr>
              <w:t>8.62%</w:t>
            </w:r>
          </w:p>
        </w:tc>
        <w:tc>
          <w:tcPr>
            <w:tcW w:w="2024"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r>
      <w:tr w:rsidR="00DA3C49"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rsidR="00DA3C49" w:rsidRPr="000B4E53" w:rsidRDefault="006E567D" w:rsidP="00DA3C49">
            <w:pPr>
              <w:jc w:val="center"/>
              <w:rPr>
                <w:rFonts w:ascii="Arial" w:hAnsi="Arial" w:cs="Arial"/>
              </w:rPr>
            </w:pPr>
            <w:r>
              <w:rPr>
                <w:rFonts w:ascii="Arial" w:hAnsi="Arial" w:cs="Arial"/>
              </w:rPr>
              <w:t>1,745,823</w:t>
            </w:r>
          </w:p>
        </w:tc>
        <w:tc>
          <w:tcPr>
            <w:tcW w:w="4356" w:type="dxa"/>
            <w:gridSpan w:val="3"/>
            <w:tcBorders>
              <w:top w:val="single" w:sz="4" w:space="0" w:color="auto"/>
              <w:left w:val="single" w:sz="4" w:space="0" w:color="auto"/>
              <w:bottom w:val="single" w:sz="4" w:space="0" w:color="auto"/>
              <w:right w:val="single" w:sz="4" w:space="0" w:color="auto"/>
            </w:tcBorders>
            <w:vAlign w:val="center"/>
          </w:tcPr>
          <w:p w:rsidR="00DA3C49" w:rsidRPr="000B4E53" w:rsidRDefault="006E567D" w:rsidP="00DA3C49">
            <w:pPr>
              <w:jc w:val="center"/>
              <w:rPr>
                <w:rFonts w:ascii="Arial" w:hAnsi="Arial" w:cs="Arial"/>
              </w:rPr>
            </w:pPr>
            <w:r>
              <w:rPr>
                <w:rFonts w:ascii="Arial" w:hAnsi="Arial" w:cs="Arial"/>
              </w:rPr>
              <w:t>8.62%</w:t>
            </w: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234209" w:rsidRDefault="00234209" w:rsidP="004B60AF">
            <w:pPr>
              <w:rPr>
                <w:rFonts w:ascii="Arial" w:hAnsi="Arial" w:cs="Arial"/>
              </w:rPr>
            </w:pPr>
          </w:p>
          <w:p w:rsidR="00234209" w:rsidRPr="000B4E53" w:rsidRDefault="00234209" w:rsidP="004B60AF">
            <w:pPr>
              <w:rPr>
                <w:rFonts w:ascii="Arial" w:hAnsi="Arial" w:cs="Arial"/>
              </w:rPr>
            </w:pPr>
          </w:p>
        </w:tc>
      </w:tr>
      <w:tr w:rsidR="00234209" w:rsidRPr="00002001" w:rsidTr="00DA3C49">
        <w:trPr>
          <w:trHeight w:val="530"/>
          <w:jc w:val="center"/>
        </w:trPr>
        <w:tc>
          <w:tcPr>
            <w:tcW w:w="10620" w:type="dxa"/>
            <w:gridSpan w:val="10"/>
            <w:tcBorders>
              <w:top w:val="single" w:sz="4" w:space="0" w:color="auto"/>
              <w:bottom w:val="single" w:sz="4" w:space="0" w:color="auto"/>
            </w:tcBorders>
            <w:vAlign w:val="center"/>
          </w:tcPr>
          <w:p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sidR="00340DF7">
              <w:rPr>
                <w:rFonts w:ascii="Arial" w:hAnsi="Arial" w:cs="Arial"/>
                <w:b/>
              </w:rPr>
              <w:t xml:space="preserve"> (DTR5.3.1.1 (a))</w:t>
            </w:r>
          </w:p>
        </w:tc>
      </w:tr>
      <w:tr w:rsidR="00234209" w:rsidRPr="00002001" w:rsidTr="00DA3C49">
        <w:trPr>
          <w:jc w:val="center"/>
        </w:trPr>
        <w:tc>
          <w:tcPr>
            <w:tcW w:w="2209" w:type="dxa"/>
            <w:gridSpan w:val="2"/>
            <w:tcBorders>
              <w:top w:val="single" w:sz="4" w:space="0" w:color="auto"/>
              <w:bottom w:val="single" w:sz="4" w:space="0" w:color="auto"/>
              <w:right w:val="single" w:sz="4" w:space="0" w:color="auto"/>
            </w:tcBorders>
            <w:vAlign w:val="center"/>
          </w:tcPr>
          <w:p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Conversion Period</w:t>
            </w:r>
            <w:r w:rsidRPr="00C029BE">
              <w:rPr>
                <w:rFonts w:ascii="TimesNewRomanPSMT" w:hAnsi="TimesNewRomanPSMT" w:cs="TimesNewRomanPSMT"/>
                <w:sz w:val="16"/>
                <w:szCs w:val="16"/>
                <w:vertAlign w:val="superscript"/>
                <w:lang w:eastAsia="fr-FR"/>
              </w:rPr>
              <w:t>xi</w:t>
            </w: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rsidR="00234209" w:rsidRPr="00AA0444" w:rsidRDefault="00234209" w:rsidP="004B60A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r>
      <w:tr w:rsidR="00234209"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r>
      <w:tr w:rsidR="00234209"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r>
      <w:tr w:rsidR="00234209" w:rsidRPr="00002001" w:rsidTr="00DA3C49">
        <w:trPr>
          <w:trHeight w:val="481"/>
          <w:jc w:val="center"/>
        </w:trPr>
        <w:tc>
          <w:tcPr>
            <w:tcW w:w="2209" w:type="dxa"/>
            <w:gridSpan w:val="2"/>
            <w:tcBorders>
              <w:top w:val="single" w:sz="4" w:space="0" w:color="auto"/>
              <w:left w:val="nil"/>
              <w:bottom w:val="nil"/>
              <w:right w:val="nil"/>
            </w:tcBorders>
          </w:tcPr>
          <w:p w:rsidR="00234209" w:rsidRPr="000B4E53" w:rsidRDefault="00234209" w:rsidP="004B60AF">
            <w:pPr>
              <w:rPr>
                <w:rFonts w:ascii="Arial" w:hAnsi="Arial" w:cs="Arial"/>
              </w:rPr>
            </w:pPr>
          </w:p>
        </w:tc>
        <w:tc>
          <w:tcPr>
            <w:tcW w:w="1238" w:type="dxa"/>
            <w:tcBorders>
              <w:top w:val="single" w:sz="4" w:space="0" w:color="auto"/>
              <w:left w:val="nil"/>
              <w:bottom w:val="nil"/>
              <w:right w:val="single" w:sz="4" w:space="0" w:color="auto"/>
            </w:tcBorders>
          </w:tcPr>
          <w:p w:rsidR="00234209" w:rsidRPr="000B4E53" w:rsidRDefault="00234209" w:rsidP="004B60AF">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234209" w:rsidRDefault="00234209" w:rsidP="004B60AF">
            <w:pPr>
              <w:rPr>
                <w:rFonts w:ascii="Arial" w:hAnsi="Arial" w:cs="Arial"/>
              </w:rPr>
            </w:pPr>
          </w:p>
          <w:p w:rsidR="00234209" w:rsidRPr="000B4E53" w:rsidRDefault="00234209" w:rsidP="004B60AF">
            <w:pPr>
              <w:rPr>
                <w:rFonts w:ascii="Arial" w:hAnsi="Arial" w:cs="Arial"/>
              </w:rPr>
            </w:pPr>
          </w:p>
        </w:tc>
      </w:tr>
      <w:tr w:rsidR="00234209" w:rsidRPr="00002001" w:rsidTr="00DA3C49">
        <w:trPr>
          <w:trHeight w:val="408"/>
          <w:jc w:val="center"/>
        </w:trPr>
        <w:tc>
          <w:tcPr>
            <w:tcW w:w="10620" w:type="dxa"/>
            <w:gridSpan w:val="10"/>
            <w:tcBorders>
              <w:top w:val="single" w:sz="4" w:space="0" w:color="auto"/>
              <w:bottom w:val="single" w:sz="4" w:space="0" w:color="auto"/>
            </w:tcBorders>
            <w:vAlign w:val="center"/>
          </w:tcPr>
          <w:p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sidR="00340DF7">
              <w:rPr>
                <w:rFonts w:ascii="Arial" w:hAnsi="Arial" w:cs="Arial"/>
                <w:b/>
              </w:rPr>
              <w:t xml:space="preserve"> (DTR5.3.1.1 (b))</w:t>
            </w:r>
          </w:p>
        </w:tc>
      </w:tr>
      <w:tr w:rsidR="00234209" w:rsidRPr="00002001" w:rsidTr="00DA3C49">
        <w:trPr>
          <w:jc w:val="center"/>
        </w:trPr>
        <w:tc>
          <w:tcPr>
            <w:tcW w:w="1798" w:type="dxa"/>
            <w:tcBorders>
              <w:top w:val="single" w:sz="4" w:space="0" w:color="auto"/>
              <w:bottom w:val="single" w:sz="4" w:space="0" w:color="auto"/>
              <w:right w:val="single" w:sz="4" w:space="0" w:color="auto"/>
            </w:tcBorders>
            <w:vAlign w:val="center"/>
          </w:tcPr>
          <w:p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t>dat</w:t>
            </w:r>
            <w:r w:rsidRPr="00632309">
              <w:rPr>
                <w:rFonts w:ascii="Arial" w:hAnsi="Arial" w:cs="Arial"/>
                <w:b/>
                <w:sz w:val="20"/>
                <w:szCs w:val="20"/>
              </w:rPr>
              <w:t>e</w:t>
            </w:r>
            <w:r w:rsidRPr="00C029BE">
              <w:rPr>
                <w:rFonts w:ascii="Arial" w:hAnsi="Arial" w:cs="Arial"/>
                <w:sz w:val="16"/>
                <w:szCs w:val="16"/>
                <w:vertAlign w:val="superscript"/>
                <w:lang w:eastAsia="fr-FR"/>
              </w:rPr>
              <w:t>x</w:t>
            </w: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461C29" w:rsidRDefault="00234209" w:rsidP="004B60AF">
            <w:pPr>
              <w:rPr>
                <w:rFonts w:ascii="Arial" w:hAnsi="Arial" w:cs="Arial"/>
                <w:b/>
                <w:sz w:val="20"/>
                <w:szCs w:val="20"/>
              </w:rPr>
            </w:pPr>
            <w:r>
              <w:rPr>
                <w:rFonts w:ascii="Arial" w:hAnsi="Arial" w:cs="Arial"/>
                <w:b/>
                <w:sz w:val="20"/>
                <w:szCs w:val="20"/>
              </w:rPr>
              <w:t xml:space="preserve">Physical or cash </w:t>
            </w:r>
          </w:p>
          <w:p w:rsidR="00234209" w:rsidRPr="000B4E53" w:rsidRDefault="00234209" w:rsidP="004B60AF">
            <w:pPr>
              <w:rPr>
                <w:rFonts w:ascii="Arial" w:hAnsi="Arial" w:cs="Arial"/>
                <w:b/>
                <w:sz w:val="20"/>
                <w:szCs w:val="20"/>
              </w:rPr>
            </w:pPr>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
        </w:tc>
        <w:tc>
          <w:tcPr>
            <w:tcW w:w="1592" w:type="dxa"/>
            <w:tcBorders>
              <w:top w:val="single" w:sz="4" w:space="0" w:color="auto"/>
              <w:left w:val="single" w:sz="4" w:space="0" w:color="auto"/>
              <w:bottom w:val="single" w:sz="4" w:space="0" w:color="auto"/>
            </w:tcBorders>
            <w:vAlign w:val="center"/>
          </w:tcPr>
          <w:p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rsidTr="00AC6F04">
        <w:trPr>
          <w:trHeight w:val="481"/>
          <w:jc w:val="center"/>
        </w:trPr>
        <w:tc>
          <w:tcPr>
            <w:tcW w:w="1798" w:type="dxa"/>
            <w:tcBorders>
              <w:top w:val="single" w:sz="4" w:space="0" w:color="auto"/>
              <w:bottom w:val="single" w:sz="4" w:space="0" w:color="auto"/>
              <w:right w:val="single" w:sz="4" w:space="0" w:color="auto"/>
            </w:tcBorders>
          </w:tcPr>
          <w:p w:rsidR="00234209" w:rsidRPr="00562A7B" w:rsidRDefault="00234209" w:rsidP="0060309C">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tcPr>
          <w:p w:rsidR="00234209" w:rsidRPr="00562A7B" w:rsidRDefault="0023420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tcPr>
          <w:p w:rsidR="00234209" w:rsidRPr="00E75CA8" w:rsidRDefault="00234209">
            <w:pPr>
              <w:rPr>
                <w:rFonts w:ascii="Arial" w:hAnsi="Arial" w:cs="Arial"/>
                <w:szCs w:val="22"/>
              </w:rPr>
            </w:pPr>
          </w:p>
        </w:tc>
        <w:tc>
          <w:tcPr>
            <w:tcW w:w="1771" w:type="dxa"/>
            <w:gridSpan w:val="3"/>
            <w:tcBorders>
              <w:top w:val="single" w:sz="4" w:space="0" w:color="auto"/>
              <w:left w:val="single" w:sz="4" w:space="0" w:color="auto"/>
              <w:bottom w:val="single" w:sz="4" w:space="0" w:color="auto"/>
              <w:right w:val="single" w:sz="4" w:space="0" w:color="auto"/>
            </w:tcBorders>
          </w:tcPr>
          <w:p w:rsidR="00234209" w:rsidRPr="00E75CA8" w:rsidRDefault="00234209">
            <w:pPr>
              <w:rPr>
                <w:rFonts w:ascii="Arial" w:hAnsi="Arial" w:cs="Arial"/>
                <w:szCs w:val="22"/>
              </w:rPr>
            </w:pPr>
          </w:p>
        </w:tc>
        <w:tc>
          <w:tcPr>
            <w:tcW w:w="1592" w:type="dxa"/>
            <w:tcBorders>
              <w:top w:val="single" w:sz="4" w:space="0" w:color="auto"/>
              <w:left w:val="single" w:sz="4" w:space="0" w:color="auto"/>
              <w:bottom w:val="single" w:sz="4" w:space="0" w:color="auto"/>
            </w:tcBorders>
          </w:tcPr>
          <w:p w:rsidR="00234209" w:rsidRPr="00E75CA8" w:rsidRDefault="00234209">
            <w:pPr>
              <w:rPr>
                <w:rFonts w:ascii="Arial" w:hAnsi="Arial" w:cs="Arial"/>
                <w:szCs w:val="22"/>
              </w:rPr>
            </w:pPr>
          </w:p>
        </w:tc>
        <w:tc>
          <w:tcPr>
            <w:tcW w:w="2024" w:type="dxa"/>
            <w:tcBorders>
              <w:top w:val="single" w:sz="4" w:space="0" w:color="auto"/>
              <w:left w:val="single" w:sz="4" w:space="0" w:color="auto"/>
              <w:bottom w:val="single" w:sz="4" w:space="0" w:color="auto"/>
            </w:tcBorders>
          </w:tcPr>
          <w:p w:rsidR="00234209" w:rsidRPr="00E75CA8" w:rsidRDefault="00234209">
            <w:pPr>
              <w:rPr>
                <w:rFonts w:ascii="Arial" w:hAnsi="Arial" w:cs="Arial"/>
                <w:szCs w:val="22"/>
              </w:rPr>
            </w:pPr>
          </w:p>
        </w:tc>
      </w:tr>
      <w:tr w:rsidR="00234209" w:rsidRPr="00002001" w:rsidTr="00DA3C49">
        <w:trPr>
          <w:trHeight w:val="481"/>
          <w:jc w:val="center"/>
        </w:trPr>
        <w:tc>
          <w:tcPr>
            <w:tcW w:w="1798" w:type="dxa"/>
            <w:tcBorders>
              <w:top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562A7B" w:rsidRDefault="00234209" w:rsidP="00DA3C49">
            <w:pPr>
              <w:rPr>
                <w:rFonts w:ascii="Arial" w:hAnsi="Arial" w:cs="Arial"/>
              </w:rPr>
            </w:pPr>
          </w:p>
        </w:tc>
      </w:tr>
      <w:tr w:rsidR="00234209" w:rsidRPr="00002001" w:rsidTr="00DA3C49">
        <w:trPr>
          <w:trHeight w:val="481"/>
          <w:jc w:val="center"/>
        </w:trPr>
        <w:tc>
          <w:tcPr>
            <w:tcW w:w="1798" w:type="dxa"/>
            <w:tcBorders>
              <w:top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562A7B" w:rsidRDefault="00234209" w:rsidP="00DA3C49">
            <w:pPr>
              <w:rPr>
                <w:rFonts w:ascii="Arial" w:hAnsi="Arial" w:cs="Arial"/>
              </w:rPr>
            </w:pPr>
          </w:p>
        </w:tc>
      </w:tr>
      <w:tr w:rsidR="00234209" w:rsidRPr="00002001" w:rsidTr="00DA3C49">
        <w:trPr>
          <w:trHeight w:val="481"/>
          <w:jc w:val="center"/>
        </w:trPr>
        <w:tc>
          <w:tcPr>
            <w:tcW w:w="1798" w:type="dxa"/>
            <w:tcBorders>
              <w:top w:val="single" w:sz="4" w:space="0" w:color="auto"/>
              <w:left w:val="nil"/>
              <w:bottom w:val="nil"/>
              <w:right w:val="nil"/>
            </w:tcBorders>
            <w:vAlign w:val="center"/>
          </w:tcPr>
          <w:p w:rsidR="00234209" w:rsidRPr="000B4E53" w:rsidRDefault="00234209" w:rsidP="00DA3C49">
            <w:pPr>
              <w:rPr>
                <w:rFonts w:ascii="Arial" w:hAnsi="Arial" w:cs="Arial"/>
              </w:rPr>
            </w:pPr>
          </w:p>
        </w:tc>
        <w:tc>
          <w:tcPr>
            <w:tcW w:w="1649" w:type="dxa"/>
            <w:gridSpan w:val="2"/>
            <w:tcBorders>
              <w:top w:val="single" w:sz="4" w:space="0" w:color="auto"/>
              <w:left w:val="nil"/>
              <w:bottom w:val="nil"/>
              <w:right w:val="nil"/>
            </w:tcBorders>
          </w:tcPr>
          <w:p w:rsidR="00234209" w:rsidRPr="000B4E53" w:rsidRDefault="00234209" w:rsidP="004B60AF">
            <w:pPr>
              <w:rPr>
                <w:rFonts w:ascii="Arial" w:hAnsi="Arial" w:cs="Arial"/>
              </w:rPr>
            </w:pPr>
          </w:p>
        </w:tc>
        <w:tc>
          <w:tcPr>
            <w:tcW w:w="1786" w:type="dxa"/>
            <w:gridSpan w:val="2"/>
            <w:tcBorders>
              <w:top w:val="single" w:sz="4" w:space="0" w:color="auto"/>
              <w:left w:val="nil"/>
              <w:bottom w:val="nil"/>
              <w:right w:val="single" w:sz="4" w:space="0" w:color="auto"/>
            </w:tcBorders>
          </w:tcPr>
          <w:p w:rsidR="00234209" w:rsidRPr="00E96684" w:rsidRDefault="00234209" w:rsidP="004B60AF">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r>
              <w:rPr>
                <w:rFonts w:ascii="Arial" w:hAnsi="Arial" w:cs="Arial"/>
                <w:b/>
                <w:sz w:val="20"/>
                <w:szCs w:val="20"/>
              </w:rPr>
              <w:t xml:space="preserve">SUBTOTAL </w:t>
            </w:r>
            <w:r w:rsidR="00815189">
              <w:rPr>
                <w:rFonts w:ascii="Arial" w:hAnsi="Arial" w:cs="Arial"/>
                <w:b/>
                <w:sz w:val="20"/>
                <w:szCs w:val="20"/>
              </w:rPr>
              <w:t>8.</w:t>
            </w:r>
            <w:r>
              <w:rPr>
                <w:rFonts w:ascii="Arial" w:hAnsi="Arial" w:cs="Arial"/>
                <w:b/>
                <w:sz w:val="20"/>
                <w:szCs w:val="20"/>
              </w:rPr>
              <w:t>B.2</w:t>
            </w:r>
          </w:p>
        </w:tc>
        <w:tc>
          <w:tcPr>
            <w:tcW w:w="1592" w:type="dxa"/>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234209" w:rsidRDefault="00234209" w:rsidP="004B60AF">
            <w:pPr>
              <w:rPr>
                <w:rFonts w:ascii="Arial" w:hAnsi="Arial" w:cs="Arial"/>
              </w:rPr>
            </w:pPr>
          </w:p>
          <w:p w:rsidR="00234209" w:rsidRDefault="00234209" w:rsidP="004B60AF">
            <w:pPr>
              <w:rPr>
                <w:rFonts w:ascii="Arial" w:hAnsi="Arial" w:cs="Arial"/>
              </w:rPr>
            </w:pPr>
          </w:p>
          <w:p w:rsidR="00234209" w:rsidRPr="000B4E53" w:rsidRDefault="00234209" w:rsidP="004B60AF">
            <w:pPr>
              <w:rPr>
                <w:rFonts w:ascii="Arial" w:hAnsi="Arial" w:cs="Arial"/>
              </w:rPr>
            </w:pPr>
          </w:p>
        </w:tc>
      </w:tr>
    </w:tbl>
    <w:p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rsidTr="002C1BD6">
        <w:trPr>
          <w:trHeight w:val="595"/>
        </w:trPr>
        <w:tc>
          <w:tcPr>
            <w:tcW w:w="10620" w:type="dxa"/>
            <w:gridSpan w:val="5"/>
            <w:tcBorders>
              <w:bottom w:val="nil"/>
            </w:tcBorders>
          </w:tcPr>
          <w:p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rsidTr="00DA3C49">
        <w:trPr>
          <w:trHeight w:val="634"/>
        </w:trPr>
        <w:tc>
          <w:tcPr>
            <w:tcW w:w="9934" w:type="dxa"/>
            <w:gridSpan w:val="4"/>
            <w:tcBorders>
              <w:bottom w:val="nil"/>
            </w:tcBorders>
          </w:tcPr>
          <w:p w:rsidR="002C1BD6" w:rsidRPr="002C1BD6" w:rsidRDefault="002C1BD6" w:rsidP="004B60AF">
            <w:pPr>
              <w:rPr>
                <w:rFonts w:ascii="Arial" w:hAnsi="Arial" w:cs="Arial"/>
                <w:sz w:val="20"/>
                <w:szCs w:val="20"/>
              </w:rPr>
            </w:pPr>
            <w:r w:rsidRPr="002C1BD6">
              <w:rPr>
                <w:rFonts w:ascii="Arial" w:hAnsi="Arial" w:cs="Arial"/>
                <w:sz w:val="20"/>
                <w:szCs w:val="20"/>
              </w:rPr>
              <w:t>Person subject to the notification obligation is not controlled by any natural person or legal entity and does not control any other undertaking(s) holding directly or indirectly an interest in the (underlying) issuer</w:t>
            </w:r>
            <w:r w:rsidRPr="002C1BD6">
              <w:rPr>
                <w:rFonts w:ascii="Arial" w:hAnsi="Arial" w:cs="Arial"/>
                <w:sz w:val="20"/>
                <w:szCs w:val="20"/>
                <w:vertAlign w:val="superscript"/>
                <w:lang w:eastAsia="fr-FR"/>
              </w:rPr>
              <w:t>xiii</w:t>
            </w:r>
          </w:p>
        </w:tc>
        <w:tc>
          <w:tcPr>
            <w:tcW w:w="686" w:type="dxa"/>
            <w:tcBorders>
              <w:bottom w:val="nil"/>
            </w:tcBorders>
            <w:vAlign w:val="center"/>
          </w:tcPr>
          <w:p w:rsidR="002C1BD6" w:rsidRPr="00DA3C49" w:rsidRDefault="006E567D" w:rsidP="00DA3C49">
            <w:pPr>
              <w:jc w:val="center"/>
              <w:rPr>
                <w:rFonts w:ascii="Arial" w:hAnsi="Arial" w:cs="Arial"/>
              </w:rPr>
            </w:pPr>
            <w:r>
              <w:rPr>
                <w:rFonts w:ascii="Arial" w:hAnsi="Arial" w:cs="Arial"/>
              </w:rPr>
              <w:t>X</w:t>
            </w:r>
          </w:p>
        </w:tc>
      </w:tr>
      <w:tr w:rsidR="002C1BD6" w:rsidRPr="00002001" w:rsidTr="00DA3C49">
        <w:trPr>
          <w:trHeight w:val="770"/>
        </w:trPr>
        <w:tc>
          <w:tcPr>
            <w:tcW w:w="9934" w:type="dxa"/>
            <w:gridSpan w:val="4"/>
            <w:tcBorders>
              <w:bottom w:val="single" w:sz="4" w:space="0" w:color="auto"/>
            </w:tcBorders>
          </w:tcPr>
          <w:p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financial instruments are effectively held starting with the ultimate controlling natural person or legal entity</w:t>
            </w:r>
            <w:r w:rsidRPr="002C1BD6">
              <w:rPr>
                <w:rFonts w:ascii="Arial" w:hAnsi="Arial" w:cs="Arial"/>
                <w:sz w:val="20"/>
                <w:szCs w:val="20"/>
                <w:vertAlign w:val="superscript"/>
                <w:lang w:eastAsia="fr-FR"/>
              </w:rPr>
              <w:t xml:space="preserve">xiv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rsidR="002C1BD6" w:rsidRPr="00DA3C49" w:rsidRDefault="002C1BD6" w:rsidP="00DA3C49">
            <w:pPr>
              <w:jc w:val="center"/>
              <w:rPr>
                <w:rFonts w:ascii="Arial" w:hAnsi="Arial" w:cs="Arial"/>
              </w:rPr>
            </w:pPr>
          </w:p>
        </w:tc>
      </w:tr>
      <w:tr w:rsidR="00234209" w:rsidRPr="00002001" w:rsidTr="002C1BD6">
        <w:trPr>
          <w:trHeight w:val="1149"/>
        </w:trPr>
        <w:tc>
          <w:tcPr>
            <w:tcW w:w="2655" w:type="dxa"/>
            <w:tcBorders>
              <w:top w:val="single" w:sz="4" w:space="0" w:color="auto"/>
            </w:tcBorders>
            <w:vAlign w:val="center"/>
          </w:tcPr>
          <w:p w:rsidR="00234209" w:rsidRPr="009E759C" w:rsidRDefault="00234209" w:rsidP="004B60AF">
            <w:pPr>
              <w:jc w:val="center"/>
              <w:rPr>
                <w:rFonts w:ascii="Arial" w:hAnsi="Arial" w:cs="Arial"/>
                <w:b/>
                <w:sz w:val="16"/>
                <w:szCs w:val="16"/>
              </w:rPr>
            </w:pPr>
            <w:r>
              <w:rPr>
                <w:rFonts w:ascii="Arial" w:hAnsi="Arial" w:cs="Arial"/>
                <w:b/>
              </w:rPr>
              <w:t>Name</w:t>
            </w:r>
            <w:r w:rsidRPr="00C029BE">
              <w:rPr>
                <w:rFonts w:ascii="Arial" w:hAnsi="Arial" w:cs="Arial"/>
                <w:sz w:val="16"/>
                <w:szCs w:val="16"/>
                <w:vertAlign w:val="superscript"/>
              </w:rPr>
              <w:t>xv</w:t>
            </w:r>
          </w:p>
        </w:tc>
        <w:tc>
          <w:tcPr>
            <w:tcW w:w="2655" w:type="dxa"/>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4B60AF">
        <w:trPr>
          <w:trHeight w:val="710"/>
        </w:trPr>
        <w:tc>
          <w:tcPr>
            <w:tcW w:w="10620" w:type="dxa"/>
            <w:gridSpan w:val="5"/>
            <w:tcBorders>
              <w:left w:val="nil"/>
              <w:right w:val="nil"/>
            </w:tcBorders>
          </w:tcPr>
          <w:p w:rsidR="00234209" w:rsidRPr="000B4E53" w:rsidRDefault="00234209" w:rsidP="004B60AF">
            <w:pPr>
              <w:rPr>
                <w:rFonts w:ascii="Arial" w:hAnsi="Arial" w:cs="Arial"/>
                <w:b/>
              </w:rPr>
            </w:pPr>
          </w:p>
        </w:tc>
      </w:tr>
      <w:tr w:rsidR="00234209" w:rsidRPr="00002001" w:rsidTr="002C1BD6">
        <w:trPr>
          <w:trHeight w:val="414"/>
        </w:trPr>
        <w:tc>
          <w:tcPr>
            <w:tcW w:w="10620" w:type="dxa"/>
            <w:gridSpan w:val="5"/>
            <w:vAlign w:val="center"/>
          </w:tcPr>
          <w:p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rsidTr="002C1BD6">
        <w:trPr>
          <w:trHeight w:val="406"/>
        </w:trPr>
        <w:tc>
          <w:tcPr>
            <w:tcW w:w="5310" w:type="dxa"/>
            <w:gridSpan w:val="2"/>
            <w:vAlign w:val="center"/>
          </w:tcPr>
          <w:p w:rsidR="002C1BD6" w:rsidRPr="00DA3C49" w:rsidRDefault="002C1BD6" w:rsidP="004B60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rsidR="002C1BD6" w:rsidRPr="00DA3C49" w:rsidRDefault="002C1BD6" w:rsidP="004B60AF">
            <w:pPr>
              <w:autoSpaceDE w:val="0"/>
              <w:autoSpaceDN w:val="0"/>
              <w:adjustRightInd w:val="0"/>
              <w:rPr>
                <w:rFonts w:ascii="Arial" w:hAnsi="Arial" w:cs="Arial"/>
                <w:szCs w:val="22"/>
              </w:rPr>
            </w:pPr>
          </w:p>
        </w:tc>
      </w:tr>
      <w:tr w:rsidR="002C1BD6" w:rsidRPr="00002001" w:rsidTr="002C1BD6">
        <w:trPr>
          <w:trHeight w:val="555"/>
        </w:trPr>
        <w:tc>
          <w:tcPr>
            <w:tcW w:w="5310" w:type="dxa"/>
            <w:gridSpan w:val="2"/>
            <w:vAlign w:val="center"/>
          </w:tcPr>
          <w:p w:rsidR="002C1BD6" w:rsidRPr="00DA3C49" w:rsidRDefault="00CC6868" w:rsidP="004B60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rsidR="002C1BD6" w:rsidRPr="00DA3C49" w:rsidRDefault="002C1BD6" w:rsidP="004B60AF">
            <w:pPr>
              <w:autoSpaceDE w:val="0"/>
              <w:autoSpaceDN w:val="0"/>
              <w:adjustRightInd w:val="0"/>
              <w:rPr>
                <w:rFonts w:ascii="Arial" w:hAnsi="Arial" w:cs="Arial"/>
                <w:szCs w:val="22"/>
              </w:rPr>
            </w:pPr>
          </w:p>
        </w:tc>
      </w:tr>
      <w:tr w:rsidR="002C1BD6" w:rsidRPr="00002001" w:rsidTr="002C1BD6">
        <w:trPr>
          <w:trHeight w:val="562"/>
        </w:trPr>
        <w:tc>
          <w:tcPr>
            <w:tcW w:w="5310" w:type="dxa"/>
            <w:gridSpan w:val="2"/>
            <w:vAlign w:val="center"/>
          </w:tcPr>
          <w:p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rsidR="002C1BD6" w:rsidRPr="00DA3C49" w:rsidRDefault="002C1BD6" w:rsidP="004B60AF">
            <w:pPr>
              <w:autoSpaceDE w:val="0"/>
              <w:autoSpaceDN w:val="0"/>
              <w:adjustRightInd w:val="0"/>
              <w:rPr>
                <w:rFonts w:ascii="Arial" w:hAnsi="Arial" w:cs="Arial"/>
                <w:szCs w:val="22"/>
              </w:rPr>
            </w:pPr>
          </w:p>
        </w:tc>
      </w:tr>
      <w:tr w:rsidR="00234209" w:rsidRPr="00002001" w:rsidTr="004B60AF">
        <w:trPr>
          <w:trHeight w:val="530"/>
        </w:trPr>
        <w:tc>
          <w:tcPr>
            <w:tcW w:w="10620" w:type="dxa"/>
            <w:gridSpan w:val="5"/>
            <w:tcBorders>
              <w:left w:val="nil"/>
              <w:bottom w:val="nil"/>
              <w:right w:val="nil"/>
            </w:tcBorders>
            <w:vAlign w:val="center"/>
          </w:tcPr>
          <w:p w:rsidR="00CA1111" w:rsidRPr="000B4E53" w:rsidRDefault="00CA1111" w:rsidP="00AA1207">
            <w:pPr>
              <w:rPr>
                <w:rFonts w:ascii="Arial" w:hAnsi="Arial" w:cs="Arial"/>
              </w:rPr>
            </w:pPr>
          </w:p>
        </w:tc>
      </w:tr>
      <w:tr w:rsidR="00234209" w:rsidRPr="00002001" w:rsidTr="00F4153C">
        <w:trPr>
          <w:trHeight w:val="437"/>
        </w:trPr>
        <w:tc>
          <w:tcPr>
            <w:tcW w:w="10620" w:type="dxa"/>
            <w:gridSpan w:val="5"/>
            <w:vAlign w:val="center"/>
          </w:tcPr>
          <w:p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r w:rsidRPr="00632309">
              <w:rPr>
                <w:rFonts w:ascii="Arial" w:hAnsi="Arial" w:cs="Arial"/>
                <w:b/>
              </w:rPr>
              <w:t>information</w:t>
            </w:r>
            <w:r w:rsidRPr="00C029BE">
              <w:rPr>
                <w:rFonts w:ascii="Arial" w:hAnsi="Arial" w:cs="Arial"/>
                <w:sz w:val="16"/>
                <w:szCs w:val="16"/>
                <w:vertAlign w:val="superscript"/>
                <w:lang w:eastAsia="fr-FR"/>
              </w:rPr>
              <w:t>xvi</w:t>
            </w:r>
          </w:p>
        </w:tc>
      </w:tr>
      <w:tr w:rsidR="00F4153C" w:rsidRPr="00002001" w:rsidTr="00DA3C49">
        <w:trPr>
          <w:trHeight w:val="950"/>
        </w:trPr>
        <w:tc>
          <w:tcPr>
            <w:tcW w:w="10620" w:type="dxa"/>
            <w:gridSpan w:val="5"/>
          </w:tcPr>
          <w:p w:rsidR="00F4153C" w:rsidRPr="00DA3C49" w:rsidRDefault="00F4153C" w:rsidP="00DA3C49">
            <w:pPr>
              <w:rPr>
                <w:rFonts w:ascii="Arial" w:hAnsi="Arial" w:cs="Arial"/>
              </w:rPr>
            </w:pPr>
          </w:p>
        </w:tc>
      </w:tr>
    </w:tbl>
    <w:p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rsidTr="00DA3C49">
        <w:trPr>
          <w:trHeight w:val="475"/>
        </w:trPr>
        <w:tc>
          <w:tcPr>
            <w:tcW w:w="2410" w:type="dxa"/>
            <w:vAlign w:val="center"/>
          </w:tcPr>
          <w:p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rsidR="00DF279F" w:rsidRPr="00DA3C49" w:rsidRDefault="006E567D" w:rsidP="00DA3C49">
            <w:pPr>
              <w:rPr>
                <w:rFonts w:ascii="Arial" w:hAnsi="Arial" w:cs="Arial"/>
                <w:sz w:val="22"/>
              </w:rPr>
            </w:pPr>
            <w:r w:rsidRPr="00CD440C">
              <w:rPr>
                <w:rFonts w:ascii="Arial" w:hAnsi="Arial" w:cs="Arial"/>
                <w:szCs w:val="20"/>
              </w:rPr>
              <w:t>Compliance Dept. Killik &amp; Co LLP, Crown House, Crown Street, Ipswich, Suffolk, IP1 3HS</w:t>
            </w:r>
          </w:p>
        </w:tc>
      </w:tr>
      <w:tr w:rsidR="00DF279F" w:rsidTr="00DA3C49">
        <w:trPr>
          <w:trHeight w:val="425"/>
        </w:trPr>
        <w:tc>
          <w:tcPr>
            <w:tcW w:w="2410" w:type="dxa"/>
            <w:vAlign w:val="center"/>
          </w:tcPr>
          <w:p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rsidR="00DF279F" w:rsidRPr="00DA3C49" w:rsidRDefault="006E567D" w:rsidP="00DA3C49">
            <w:pPr>
              <w:rPr>
                <w:rFonts w:ascii="Arial" w:hAnsi="Arial" w:cs="Arial"/>
                <w:sz w:val="22"/>
              </w:rPr>
            </w:pPr>
            <w:r>
              <w:rPr>
                <w:rFonts w:ascii="Arial" w:hAnsi="Arial" w:cs="Arial"/>
                <w:szCs w:val="20"/>
              </w:rPr>
              <w:t>4</w:t>
            </w:r>
            <w:r w:rsidRPr="00601EAE">
              <w:rPr>
                <w:rFonts w:ascii="Arial" w:hAnsi="Arial" w:cs="Arial"/>
                <w:szCs w:val="20"/>
                <w:vertAlign w:val="superscript"/>
              </w:rPr>
              <w:t>th</w:t>
            </w:r>
            <w:r>
              <w:rPr>
                <w:rFonts w:ascii="Arial" w:hAnsi="Arial" w:cs="Arial"/>
                <w:szCs w:val="20"/>
              </w:rPr>
              <w:t xml:space="preserve"> </w:t>
            </w:r>
            <w:r w:rsidR="000B2B77">
              <w:rPr>
                <w:rFonts w:ascii="Arial" w:hAnsi="Arial" w:cs="Arial"/>
                <w:szCs w:val="20"/>
              </w:rPr>
              <w:t>September</w:t>
            </w:r>
            <w:r>
              <w:rPr>
                <w:rFonts w:ascii="Arial" w:hAnsi="Arial" w:cs="Arial"/>
                <w:szCs w:val="20"/>
              </w:rPr>
              <w:t xml:space="preserve"> 2018</w:t>
            </w:r>
          </w:p>
        </w:tc>
      </w:tr>
    </w:tbl>
    <w:p w:rsidR="00234209" w:rsidRPr="00830AB9" w:rsidRDefault="00234209" w:rsidP="00830AB9"/>
    <w:sectPr w:rsidR="00234209" w:rsidRPr="00830AB9" w:rsidSect="00C413FC">
      <w:headerReference w:type="default" r:id="rId8"/>
      <w:footerReference w:type="default" r:id="rId9"/>
      <w:footerReference w:type="first" r:id="rId10"/>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7A2" w:rsidRDefault="005807A2">
      <w:r>
        <w:separator/>
      </w:r>
    </w:p>
    <w:p w:rsidR="005807A2" w:rsidRDefault="005807A2"/>
  </w:endnote>
  <w:endnote w:type="continuationSeparator" w:id="0">
    <w:p w:rsidR="005807A2" w:rsidRDefault="005807A2">
      <w:r>
        <w:continuationSeparator/>
      </w:r>
    </w:p>
    <w:p w:rsidR="005807A2" w:rsidRDefault="005807A2"/>
  </w:endnote>
  <w:endnote w:type="continuationNotice" w:id="1">
    <w:p w:rsidR="005807A2" w:rsidRDefault="005807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20206030504050203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rsidTr="001F1BC0">
      <w:trPr>
        <w:trHeight w:val="284"/>
      </w:trPr>
      <w:tc>
        <w:tcPr>
          <w:tcW w:w="8460" w:type="dxa"/>
        </w:tcPr>
        <w:p w:rsidR="003C4FD4" w:rsidRPr="001F1BC0" w:rsidRDefault="003C4FD4" w:rsidP="001F1BC0">
          <w:pPr>
            <w:pStyle w:val="00Footer"/>
            <w:rPr>
              <w:lang w:val="fr-FR"/>
            </w:rPr>
          </w:pPr>
        </w:p>
      </w:tc>
      <w:tc>
        <w:tcPr>
          <w:tcW w:w="952" w:type="dxa"/>
        </w:tcPr>
        <w:p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6E567D">
            <w:rPr>
              <w:rFonts w:ascii="Arial" w:hAnsi="Arial" w:cs="Arial"/>
              <w:noProof/>
            </w:rPr>
            <w:t>3</w:t>
          </w:r>
          <w:r w:rsidRPr="0084725C">
            <w:rPr>
              <w:rFonts w:ascii="Arial" w:hAnsi="Arial" w:cs="Arial"/>
              <w:noProof/>
            </w:rPr>
            <w:fldChar w:fldCharType="end"/>
          </w:r>
        </w:p>
      </w:tc>
    </w:tr>
  </w:tbl>
  <w:p w:rsidR="003C4FD4" w:rsidRDefault="003C4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879995"/>
      <w:docPartObj>
        <w:docPartGallery w:val="Page Numbers (Bottom of Page)"/>
        <w:docPartUnique/>
      </w:docPartObj>
    </w:sdtPr>
    <w:sdtEndPr>
      <w:rPr>
        <w:noProof/>
      </w:rPr>
    </w:sdtEndPr>
    <w:sdtContent>
      <w:p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6E567D">
          <w:rPr>
            <w:noProof/>
            <w:sz w:val="20"/>
            <w:szCs w:val="20"/>
          </w:rPr>
          <w:t>1</w:t>
        </w:r>
        <w:r w:rsidRPr="006202FB">
          <w:rPr>
            <w:noProof/>
            <w:sz w:val="20"/>
            <w:szCs w:val="20"/>
          </w:rPr>
          <w:fldChar w:fldCharType="end"/>
        </w:r>
      </w:p>
    </w:sdtContent>
  </w:sdt>
  <w:p w:rsidR="003C4FD4" w:rsidRDefault="003C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7A2" w:rsidRDefault="005807A2">
      <w:r>
        <w:separator/>
      </w:r>
    </w:p>
    <w:p w:rsidR="005807A2" w:rsidRDefault="005807A2"/>
  </w:footnote>
  <w:footnote w:type="continuationSeparator" w:id="0">
    <w:p w:rsidR="005807A2" w:rsidRDefault="005807A2">
      <w:r>
        <w:continuationSeparator/>
      </w:r>
    </w:p>
    <w:p w:rsidR="005807A2" w:rsidRDefault="005807A2"/>
  </w:footnote>
  <w:footnote w:type="continuationNotice" w:id="1">
    <w:p w:rsidR="005807A2" w:rsidRDefault="005807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25C" w:rsidRDefault="0084725C" w:rsidP="0084725C">
    <w:pPr>
      <w:pStyle w:val="Header"/>
      <w:jc w:val="right"/>
      <w:rPr>
        <w:b/>
        <w:color w:val="FF0000"/>
      </w:rPr>
    </w:pPr>
  </w:p>
  <w:p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B39"/>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2B77"/>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202E"/>
    <w:rsid w:val="003A318C"/>
    <w:rsid w:val="003A39BA"/>
    <w:rsid w:val="003A3B16"/>
    <w:rsid w:val="003A4555"/>
    <w:rsid w:val="003A461E"/>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4E"/>
    <w:rsid w:val="003F2179"/>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7A2"/>
    <w:rsid w:val="00580A9F"/>
    <w:rsid w:val="00580B3F"/>
    <w:rsid w:val="00581A91"/>
    <w:rsid w:val="00583E84"/>
    <w:rsid w:val="0059021E"/>
    <w:rsid w:val="005904CE"/>
    <w:rsid w:val="0059131A"/>
    <w:rsid w:val="00591D9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807"/>
    <w:rsid w:val="005D289C"/>
    <w:rsid w:val="005D366D"/>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4D88"/>
    <w:rsid w:val="006D5834"/>
    <w:rsid w:val="006D5D97"/>
    <w:rsid w:val="006D6BC8"/>
    <w:rsid w:val="006D7B9E"/>
    <w:rsid w:val="006E0919"/>
    <w:rsid w:val="006E1A58"/>
    <w:rsid w:val="006E2A23"/>
    <w:rsid w:val="006E3C72"/>
    <w:rsid w:val="006E4108"/>
    <w:rsid w:val="006E567D"/>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0AB9"/>
    <w:rsid w:val="00831077"/>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65E"/>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9D"/>
    <w:rsid w:val="00AA003B"/>
    <w:rsid w:val="00AA0F5A"/>
    <w:rsid w:val="00AA0F90"/>
    <w:rsid w:val="00AA1207"/>
    <w:rsid w:val="00AA2521"/>
    <w:rsid w:val="00AA3A84"/>
    <w:rsid w:val="00AA44FF"/>
    <w:rsid w:val="00AA4980"/>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C49"/>
    <w:rsid w:val="00DA3D2E"/>
    <w:rsid w:val="00DA4261"/>
    <w:rsid w:val="00DA465A"/>
    <w:rsid w:val="00DA5ADD"/>
    <w:rsid w:val="00DA6917"/>
    <w:rsid w:val="00DA6926"/>
    <w:rsid w:val="00DB2FC7"/>
    <w:rsid w:val="00DB3B17"/>
    <w:rsid w:val="00DB46C3"/>
    <w:rsid w:val="00DB5742"/>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41F32"/>
    <w:rsid w:val="00E426EB"/>
    <w:rsid w:val="00E42D78"/>
    <w:rsid w:val="00E42DF4"/>
    <w:rsid w:val="00E4303C"/>
    <w:rsid w:val="00E440B6"/>
    <w:rsid w:val="00E44815"/>
    <w:rsid w:val="00E44B52"/>
    <w:rsid w:val="00E44B80"/>
    <w:rsid w:val="00E45C86"/>
    <w:rsid w:val="00E507CC"/>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679D9"/>
    <w:rsid w:val="00E71A22"/>
    <w:rsid w:val="00E71C7A"/>
    <w:rsid w:val="00E72CC6"/>
    <w:rsid w:val="00E73EC4"/>
    <w:rsid w:val="00E7430F"/>
    <w:rsid w:val="00E75CA8"/>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079AB8A-E6DD-48D4-99A4-1D2B382B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B793F-EB11-734C-B737-5A6087F5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3380</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Jessica Rose</cp:lastModifiedBy>
  <cp:revision>2</cp:revision>
  <cp:lastPrinted>2016-11-29T11:00:00Z</cp:lastPrinted>
  <dcterms:created xsi:type="dcterms:W3CDTF">2018-09-05T13:01:00Z</dcterms:created>
  <dcterms:modified xsi:type="dcterms:W3CDTF">2018-09-05T13:01:00Z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